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EF2" w:rsidRPr="00CA2EF2" w:rsidRDefault="00CA2EF2" w:rsidP="00CA2EF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Метапредметный</w:t>
      </w:r>
      <w:proofErr w:type="spellEnd"/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подход к урокам литературы. Прием ассоциативного мышления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Мы живем в такое время, когда процессы всеобщей интеграции охватили все стороны жизни любого социума: экономическую, культурную, образовательную. Об интегрированном подходе к обучению все чаще говорят и в школе.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Федеральные государственные общеобразовательные стандарты второго поколения выдвигают требование к применению в обучении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метапредметного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подхода, который был разработан учёными А.В.Хуторским, Ю.В.Громыко и некоторыми другими. "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Метапредметное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содержание образования - это деятельность, не относящаяся к конкретному учебному предмету, а напротив, обеспечивающая процесс обучения в рамках любого предмета</w:t>
      </w:r>
      <w:proofErr w:type="gram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,"</w:t>
      </w:r>
      <w:proofErr w:type="gram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-пишет Ю.В.Громыко.[4,12]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Метапредметный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 - это раскрытие философских понятий и категорий средствами учебного предмета на основе речемыслительной деятельности учащихся.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 Преподавание литературы с использованием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метапредметной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технологии напрямую связано с работой по формированию мировоззрения учащихся. Современному школьнику сложно разобраться в том, кому верить и какие ценности для себя выбирать. В такой ситуации ребятам должна помочь классическая литература, где даны культурные образцы. Читая классику, школьники могут понять, что такое настоящая любовь, свобода выбора, совесть, ответственность. Но, к сожалению, изучение литературы зачастую сводится лишь к анализу художественных особенностей произведений. Использование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метапредметной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технологии на уроке литературы дает возможность, разбирая художественное произведение, выделять основные понятия – любовь, смысл жизни, свобода… 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Одна из целей изучения литературы, обозначенных в Новых стандартах, — «овладение умениями творческого чтения и 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анализа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художественных произведений с привлечением базовых литературоведческих понятий и необходимых сведений по истории литературы». Однако ни для кого не секрет, что именно анализ текста вызывает у школьников наибольшие трудности. И может быть, в немалой степени потому, что и здесь ставка делается на интеллект, на стремление разложить по полочкам пресловутые </w:t>
      </w:r>
      <w:r w:rsidRPr="00CA2E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тему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 </w:t>
      </w:r>
      <w:r w:rsidRPr="00CA2E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идею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а разговор о форме произведения, о его художественной специфике сводится к требованию использовать те самые “теоретико-литературные знания ” — то есть перечислить так называемые “художественные средства”. Эта традиционная схема ориентирована только на освоение поверхностного содержания текста, она отрывает содержание от формы и закрывает путь к глубине текста (особенно, если текст поэтический). Альтернативой такому анализу может стать обращение к эмоциональной сфере личности, к воображению, ассоциативному мышлению юного читателя.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Как известно,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Л.Выготский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считал, что эффект эстетической реакции заложен не столько в логическом, сколько в эмоциональном восприятии и переживании произведения искусства. Причём это эмоциональное восприятие каждый раз складывается из сочетания каких-то двух разнонаправленных, даже противоположных эмоций, само столкновение и взаимодействие которых как раз и несёт в себе эстетическое наслаждение. Таким образом, если исходить из этой отмеченной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Л.Выготским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закономерности, 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любой анализ художественного произведения следует начинать с поиска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этого источника “эстетической реакции” — 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двух “полюсов”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которые вызывают у нас противоположные эмоции. Это может быть противостояние образов, цветов, точек пространства и времени, даже звуковых рядов.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Ещё одна очень важная особенность нашей психики, которая должна лечь в основу обучения анализу поэтического текста, — 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способность к ассоциативному мышлению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Чтение любого текста вызывает множество ассоциаций, позволяющих проследить движение художественной мысли автора, проникнуть в глубину текста. При этом наиболее важен особый вид ассоциаций — это ассоциации опять-таки “по эмоции”. Понятно, что способность к ассоциациям подобного типа может быть соотнесена с работой воображения.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Л.Выготский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называет это явление “законом эмоциональной реальности воображения” и утверждает, что “именно этот психологический закон должен объяснить нам, почему такое сильное действие оказывают на нас художественные произведения, созданные фантазией их авторов”.[2,23]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Таким образом, залогом понимания глубокого, подчас скрытого смысла текста должно быть развитие ассоциативного мышления, богатство ассоциативного ряда, возникающего при чтении: и 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чем более развито такое мышление, тем богаче и глубже воспринимается содержание текста.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примера возьмём стихотворение М.Лермонтова «Утёс».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Ночевала тучка золотая</w:t>
      </w:r>
      <w:proofErr w:type="gramStart"/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  <w:t>Н</w:t>
      </w:r>
      <w:proofErr w:type="gramEnd"/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 груди утёса-великана,</w:t>
      </w:r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  <w:t>Утром в путь она умчалась рано,</w:t>
      </w:r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  <w:t>По лазури весело играя;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Но остался влажный след в морщине</w:t>
      </w:r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  <w:t>Старого утёса. Одиноко</w:t>
      </w:r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  <w:t>Он стоит. Задумался глубоко</w:t>
      </w:r>
      <w:proofErr w:type="gramStart"/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  <w:t>И</w:t>
      </w:r>
      <w:proofErr w:type="gramEnd"/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тихонько плачет он в пустыне.</w:t>
      </w:r>
      <w:r w:rsidRPr="00CA2EF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br/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(1841)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Спрашиваем у учащихся, о чём это стихотворение. Большинство ребят попытаются пересказать “сюжет”, некоторые скажут: о природе. И лишь немногие, эмоционально восприимчивые, с развитым воображением, ответят: “об одиночестве”. Наша задача — развить это чувство слова-образа в том самом, пока ещё часто “глухом” большинстве.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Прежде всего, предлагаем детям назвать “действующих лиц” стихотворения. Задание лёгкое: конечно же, это “тучка” и “утёс”. Дети, несомненно, поймут, что речь здесь идёт не о природных явлениях, а о душах и судьбах человеческих.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Можно ли считать эти два образа теми противоположными “полюсами” текста, о которых мы говорили? На этот вопрос ответить уже труднее: и то и другое — предметы единого природного мира и в реальности никак не противостоят друг другу. Но они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антонимичны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данном контексте, причём не конкретным своим значением, а теми эмоциями и ассоциациями, которые вызывают у читателя.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Какие же это ассоциации?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Выявление “</w:t>
      </w:r>
      <w:proofErr w:type="spellStart"/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разнополюсных</w:t>
      </w:r>
      <w:proofErr w:type="spellEnd"/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” ассоциативных рядов — следующий шаг предлагаемого алгоритма анализа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22"/>
        <w:gridCol w:w="2672"/>
        <w:gridCol w:w="2008"/>
        <w:gridCol w:w="3097"/>
      </w:tblGrid>
      <w:tr w:rsidR="00CA2EF2" w:rsidRPr="00CA2EF2" w:rsidTr="00CA2EF2">
        <w:tc>
          <w:tcPr>
            <w:tcW w:w="2500" w:type="pct"/>
            <w:gridSpan w:val="2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тучка</w:t>
            </w:r>
          </w:p>
        </w:tc>
        <w:tc>
          <w:tcPr>
            <w:tcW w:w="2500" w:type="pct"/>
            <w:gridSpan w:val="2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утёс</w:t>
            </w:r>
          </w:p>
        </w:tc>
      </w:tr>
      <w:tr w:rsidR="00CA2EF2" w:rsidRPr="00CA2EF2" w:rsidTr="00CA2EF2">
        <w:tc>
          <w:tcPr>
            <w:tcW w:w="100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лексическая цепочка</w:t>
            </w:r>
          </w:p>
        </w:tc>
        <w:tc>
          <w:tcPr>
            <w:tcW w:w="150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ассоциации</w:t>
            </w:r>
          </w:p>
        </w:tc>
        <w:tc>
          <w:tcPr>
            <w:tcW w:w="115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Лексическая цепочка</w:t>
            </w:r>
          </w:p>
        </w:tc>
        <w:tc>
          <w:tcPr>
            <w:tcW w:w="135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ассоциации</w:t>
            </w:r>
          </w:p>
        </w:tc>
      </w:tr>
      <w:tr w:rsidR="00CA2EF2" w:rsidRPr="00CA2EF2" w:rsidTr="00CA2EF2">
        <w:tc>
          <w:tcPr>
            <w:tcW w:w="100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тучка</w:t>
            </w:r>
          </w:p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золотая (эпитет)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утром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умчалась (</w:t>
            </w:r>
            <w:proofErr w:type="spellStart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олицетв</w:t>
            </w:r>
            <w:proofErr w:type="spellEnd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.)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лазурь</w:t>
            </w:r>
            <w:proofErr w:type="gramEnd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A2E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весело 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играя (</w:t>
            </w:r>
            <w:proofErr w:type="spellStart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олицетв</w:t>
            </w:r>
            <w:proofErr w:type="spellEnd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.)</w:t>
            </w:r>
          </w:p>
        </w:tc>
        <w:tc>
          <w:tcPr>
            <w:tcW w:w="150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лёгкая, подвижная, легкомысленная, светлая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A2E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молодость,</w:t>
            </w:r>
          </w:p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беззаботность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солнце, чистое небо, радость бытия и т.д.</w:t>
            </w:r>
          </w:p>
        </w:tc>
        <w:tc>
          <w:tcPr>
            <w:tcW w:w="115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утёс-великан (эпитет)</w:t>
            </w:r>
          </w:p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влажный след морщина (</w:t>
            </w:r>
            <w:proofErr w:type="spellStart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олицетв</w:t>
            </w:r>
            <w:proofErr w:type="spellEnd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.)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старый (эпитет)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A2E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одиноко 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(эпитет)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задумался (</w:t>
            </w:r>
            <w:proofErr w:type="spellStart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олицетв</w:t>
            </w:r>
            <w:proofErr w:type="spellEnd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.)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плачет (</w:t>
            </w:r>
            <w:proofErr w:type="spellStart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олицетв</w:t>
            </w:r>
            <w:proofErr w:type="spellEnd"/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.) пустыня</w:t>
            </w:r>
            <w:proofErr w:type="gramEnd"/>
          </w:p>
        </w:tc>
        <w:tc>
          <w:tcPr>
            <w:tcW w:w="1350" w:type="pct"/>
            <w:tcBorders>
              <w:top w:val="double" w:sz="6" w:space="0" w:color="717100"/>
              <w:left w:val="double" w:sz="6" w:space="0" w:color="717100"/>
              <w:bottom w:val="double" w:sz="6" w:space="0" w:color="717100"/>
              <w:right w:val="double" w:sz="6" w:space="0" w:color="717100"/>
            </w:tcBorders>
            <w:shd w:val="clear" w:color="auto" w:fill="FFFFFF"/>
            <w:tcMar>
              <w:top w:w="58" w:type="dxa"/>
              <w:left w:w="86" w:type="dxa"/>
              <w:bottom w:w="58" w:type="dxa"/>
              <w:right w:w="58" w:type="dxa"/>
            </w:tcMar>
            <w:hideMark/>
          </w:tcPr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тяжёлый, тёмный,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неподвижный, несчастный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влага, дождь, слеза</w:t>
            </w:r>
          </w:p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A2EF2" w:rsidRPr="00CA2EF2" w:rsidRDefault="00CA2EF2" w:rsidP="00CA2EF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старость, разлука, </w:t>
            </w:r>
            <w:r w:rsidRPr="00CA2E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одиночество, </w:t>
            </w:r>
            <w:r w:rsidRPr="00CA2EF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слёзы и т.д.</w:t>
            </w:r>
          </w:p>
        </w:tc>
      </w:tr>
    </w:tbl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Образ тучки поначалу — в первой строфе — привлекателен. И дети, анализируя текст на элементарном уровне, обнаружат, что это ощущение намеренно создаётся автором с помощью определённых изобразительных средств. Они отметят светлую, “радостную” цветовую гамму: “золотая”, “по лазури”. Выделят и образ “утра”, ассоциативно соотносимый с образом солнца: это его лучи “золотят” тучку на фоне яркой “лазури” неба. “Утро” — это ещё и “молодость”, “утро жизни” — такая ассоциация поддерживается и сочетанием “весело играя”, и стремительным “умчалась”. Вся строфа как бы пронизана этими солнечными лучами, 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ощущением молодости, радости и лёгкости земного бытия, и ассоциации, ею вызываемые, такие же радостные и “лёгкие”. Образ “утёса-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великана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” пока противостоит лишь 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уменьшительно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-ласковому “тучка” и никаких отрицательных эмоций не вызывает. [5,31]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Однако вторая строфа, начинающаяся противительным союзом 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“но”, 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 раз и вводит тот самый — противоположный — эмоциональный полюс, который определяет трагическое звучание стиха.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“Утёс-великан”, казавшийся нам молодым и счастливым от близости юной “тучки”, оказался “старым”, с “морщинами”, а главное — одиноким!</w:t>
      </w:r>
      <w:proofErr w:type="gramEnd"/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Словосочетание “влажный след”, вызывающее прямую ассоциацию “тучка — дождь — влага…”, в соотнесении с “морщиной” рождает иную, более сложную и печальную ассоциацию: “слеза — старость — одиночество — горе”.</w:t>
      </w:r>
      <w:proofErr w:type="gram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Подобный — ассоциативный — анализ художественной системы логично приведёт детей к ключевому слову “</w:t>
      </w: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одиноко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”, но и без него этот главный смысл стихотворения достаточно ясен: ту же ассоциацию полного, безнадёжного одиночества вызывают слова “и тихонько плачет он в пустыне”. Почему “тихонько”? — Да потому, что всё равно никто не услышит. И ещё потому, что настоящее горе — негромко…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Ощущение радости и симпатии к </w:t>
      </w:r>
      <w:r w:rsidRPr="00CA2E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тучке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сменяется чувством жалости к старому </w:t>
      </w:r>
      <w:r w:rsidRPr="00CA2E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утёсу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А оно, это великое чувство, в свою очередь рождает следующий — этически важный вопрос: а как мы теперь относимся к </w:t>
      </w:r>
      <w:r w:rsidRPr="00CA2E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тучке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 Всё так же любуемся ею, радуемся её радости, может быть, даже завидуем её абсолютной свободе? Или сочувствие </w:t>
      </w:r>
      <w:r w:rsidRPr="00CA2E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утёсу 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рождает и более сложное, неоднозначное отношение к </w:t>
      </w:r>
      <w:r w:rsidRPr="00CA2EF2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тучке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 Может быть, кто-то из детей её безоговорочно осудит, а кто-то задумается о неразрешимости противоречий между юностью и старостью... У нас, педагогов, в процессе анализа поэтического текста появляется возможность поговорить с детьми о важнейших проблемах реальной жизни, о доброте и милосердии, об ответственности за тех, “кого приручили”, о сложном соотнесении понятий “свобода” и “одиночество”.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Пустыня мира и одиночество в ней человека — вот подлинный, философский смысл стихотворения.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Таким образом, прием ассоциативного мышления в рамках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метапредметного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подхода к изучению литературы осуществляет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промысливание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а не запоминание важнейших понятий литературы. Обучение превращается в процесс саморазвития для ученика и расширяет горизонт его познания. Более того, оно формирует представление об учебном предмете не как о закрытой дисциплине, в которой всем все известно, а как о науке, тесно связанной с жизнью.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При создании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метапредметного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урока необходимо учитывать следующее:</w:t>
      </w:r>
    </w:p>
    <w:p w:rsidR="00CA2EF2" w:rsidRPr="00CA2EF2" w:rsidRDefault="00CA2EF2" w:rsidP="00CA2EF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Определиться с философским понятием или категорией, которую можно соотнести с литературным художественным произведением.</w:t>
      </w:r>
    </w:p>
    <w:p w:rsidR="00CA2EF2" w:rsidRPr="00CA2EF2" w:rsidRDefault="00CA2EF2" w:rsidP="00CA2EF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Определиться, какое умение будем формировать: анализ, поиск информации, обобщение, работа с текстом, составление таблицы и другие.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Список использованной литературы: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  Концепция федеральных государственных образовательных стандартов общего образования: проект /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Рос</w:t>
      </w:r>
      <w:proofErr w:type="gram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.а</w:t>
      </w:r>
      <w:proofErr w:type="gram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кад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образования; под ред. А.М.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Кондакова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А.А. Кузнецова. — М.: Просвещение, 2008. 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2. 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Вагина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С. Г.,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Гливинская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О. В.,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Михайлюк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Я. В. Реализация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метапредметного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подхода в преподавании гуманитарного цикла предметов в общеобразовательной школе. - М.,2010.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3. Громыко Ю. В.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Мыследеятельностная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педагогика (теоретико-практическое руководство по освоению высших образцов педагогического искусства). — Минск, 2000.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 Громыко Ю. В.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«Проблема». / Учебное пособие для учащихся старших </w:t>
      </w:r>
      <w:proofErr w:type="spellStart"/>
      <w:proofErr w:type="gram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клас-сов</w:t>
      </w:r>
      <w:proofErr w:type="spellEnd"/>
      <w:proofErr w:type="gram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М., 1998.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5. Из опыта освоения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мыследеятельностной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педагогики (Опыт освоения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мыследеятельностного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подхода в практике педагогической работы) / Под ред. Алексеевой Л. Н.,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Устиловской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А. А. М., 2007.</w:t>
      </w:r>
    </w:p>
    <w:p w:rsidR="00CA2EF2" w:rsidRPr="00CA2EF2" w:rsidRDefault="00CA2EF2" w:rsidP="00CA2E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6. Хуторской А.В. 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Метапредметный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подход в обучении</w:t>
      </w:r>
      <w:proofErr w:type="gramStart"/>
      <w:r w:rsidRPr="00CA2EF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  <w:proofErr w:type="gram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Научно-методическое пособие. — М.</w:t>
      </w:r>
      <w:proofErr w:type="gram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:</w:t>
      </w:r>
      <w:proofErr w:type="gram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Издательство «</w:t>
      </w:r>
      <w:proofErr w:type="spellStart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Эйдос</w:t>
      </w:r>
      <w:proofErr w:type="spellEnd"/>
      <w:r w:rsidRPr="00CA2E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»; Издательство Института образования человека, 2012. — 73 с. : ил. (Серия «Новые стандарты»).</w:t>
      </w:r>
    </w:p>
    <w:p w:rsidR="00610C15" w:rsidRDefault="00610C15"/>
    <w:sectPr w:rsidR="0061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F2D3B"/>
    <w:multiLevelType w:val="multilevel"/>
    <w:tmpl w:val="D674C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C15"/>
    <w:rsid w:val="00610C15"/>
    <w:rsid w:val="00CA2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2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1581</Words>
  <Characters>9016</Characters>
  <Application>Microsoft Office Word</Application>
  <DocSecurity>0</DocSecurity>
  <Lines>75</Lines>
  <Paragraphs>21</Paragraphs>
  <ScaleCrop>false</ScaleCrop>
  <Company/>
  <LinksUpToDate>false</LinksUpToDate>
  <CharactersWithSpaces>10576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2020-01-27T13:50:00Z</dcterms:created>
  <dcterms:modified xsi:type="dcterms:W3CDTF">2020-01-27T13:51:00Z</dcterms:modified>
</cp:coreProperties>
</file>